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35618D">
        <w:rPr>
          <w:rFonts w:ascii="Palatino Linotype" w:hAnsi="Palatino Linotype"/>
          <w:b/>
          <w:sz w:val="24"/>
          <w:szCs w:val="24"/>
        </w:rPr>
        <w:t>VOTO PARTICULAR QUE FORMULA LA COMISIONADA PRESIDENTA ZULEMA MARTÍNEZ SÁNCHEZ, EN RELACIÓN CON LA RESOLUCIÓN DICTADA POR EL PLENO DEL INSTITUTO DE TRANSPARENCIA, ACCESO A LA INFORMACIÓN PÚBLICA Y PROTECCIÓN DE DATOS PERSONALES DEL ESTADO DE MÉXICO Y MUNICI</w:t>
      </w:r>
      <w:r w:rsidR="00B745D5">
        <w:rPr>
          <w:rFonts w:ascii="Palatino Linotype" w:hAnsi="Palatino Linotype"/>
          <w:b/>
          <w:sz w:val="24"/>
          <w:szCs w:val="24"/>
        </w:rPr>
        <w:t>PIOS, EN LA VIGÉSIMA SEGUNDA</w:t>
      </w:r>
      <w:r w:rsidRPr="0035618D">
        <w:rPr>
          <w:rFonts w:ascii="Palatino Linotype" w:hAnsi="Palatino Linotype"/>
          <w:b/>
          <w:sz w:val="24"/>
          <w:szCs w:val="24"/>
        </w:rPr>
        <w:t xml:space="preserve"> SESIÓN ORDINARIA DEL PLENO DE FECHA </w:t>
      </w:r>
      <w:r w:rsidR="00B745D5">
        <w:rPr>
          <w:rFonts w:ascii="Palatino Linotype" w:hAnsi="Palatino Linotype"/>
          <w:b/>
          <w:sz w:val="24"/>
          <w:szCs w:val="24"/>
        </w:rPr>
        <w:t>DOCE DE JUNIO</w:t>
      </w:r>
      <w:r w:rsidRPr="0035618D">
        <w:rPr>
          <w:rFonts w:ascii="Palatino Linotype" w:hAnsi="Palatino Linotype"/>
          <w:b/>
          <w:sz w:val="24"/>
          <w:szCs w:val="24"/>
        </w:rPr>
        <w:t xml:space="preserve"> DE DOS MIL DIECINUEVE, EN EL RECURSO DE REVISIÓN</w:t>
      </w:r>
      <w:r w:rsidRPr="00F96C04">
        <w:rPr>
          <w:rFonts w:ascii="Palatino Linotype" w:hAnsi="Palatino Linotype"/>
          <w:b/>
          <w:sz w:val="24"/>
          <w:szCs w:val="24"/>
        </w:rPr>
        <w:t xml:space="preserve"> 0</w:t>
      </w:r>
      <w:r w:rsidR="00B745D5">
        <w:rPr>
          <w:rFonts w:ascii="Palatino Linotype" w:hAnsi="Palatino Linotype"/>
          <w:b/>
          <w:sz w:val="24"/>
          <w:szCs w:val="24"/>
        </w:rPr>
        <w:t>2487</w:t>
      </w:r>
      <w:r w:rsidRPr="00F96C04">
        <w:rPr>
          <w:rFonts w:ascii="Palatino Linotype" w:hAnsi="Palatino Linotype"/>
          <w:b/>
          <w:sz w:val="24"/>
          <w:szCs w:val="24"/>
        </w:rPr>
        <w:t>/INFOEM/IP/RR/201</w:t>
      </w:r>
      <w:r>
        <w:rPr>
          <w:rFonts w:ascii="Palatino Linotype" w:hAnsi="Palatino Linotype"/>
          <w:b/>
          <w:sz w:val="24"/>
          <w:szCs w:val="24"/>
        </w:rPr>
        <w:t>9.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El presente voto que realiza la suscrita, encuentra fundamento </w:t>
      </w:r>
      <w:r w:rsidRPr="009A256B">
        <w:rPr>
          <w:rFonts w:ascii="Palatino Linotype" w:hAnsi="Palatino Linotype"/>
          <w:sz w:val="24"/>
          <w:szCs w:val="24"/>
        </w:rPr>
        <w:t xml:space="preserve">en lo dispuesto por el </w:t>
      </w:r>
      <w:r w:rsidRPr="00C808C9">
        <w:rPr>
          <w:rFonts w:ascii="Palatino Linotype" w:hAnsi="Palatino Linotype"/>
          <w:sz w:val="24"/>
          <w:szCs w:val="24"/>
        </w:rPr>
        <w:t>artículo 14 fracción XI del Reglamento Interior del Instituto de Transparencia,</w:t>
      </w:r>
      <w:r w:rsidRPr="009A256B">
        <w:rPr>
          <w:rFonts w:ascii="Palatino Linotype" w:hAnsi="Palatino Linotype"/>
          <w:sz w:val="24"/>
          <w:szCs w:val="24"/>
        </w:rPr>
        <w:t xml:space="preserve">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en atención a que de acuerdo a las facultades y atribuciones con que cuenta este Órgano Garante, es necesario realizar las siguientes precisiones: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>
        <w:rPr>
          <w:rFonts w:ascii="Palatino Linotype" w:hAnsi="Palatino Linotype"/>
          <w:sz w:val="24"/>
          <w:szCs w:val="24"/>
        </w:rPr>
        <w:t xml:space="preserve">recordando que el ahora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 xml:space="preserve">requirió </w:t>
      </w:r>
      <w:r w:rsidR="00AD525A">
        <w:rPr>
          <w:rFonts w:ascii="Palatino Linotype" w:hAnsi="Palatino Linotype"/>
          <w:sz w:val="24"/>
          <w:szCs w:val="24"/>
        </w:rPr>
        <w:t>del H. Ayuntamiento</w:t>
      </w:r>
      <w:bookmarkStart w:id="0" w:name="_GoBack"/>
      <w:bookmarkEnd w:id="0"/>
      <w:r w:rsidR="00DC57E9">
        <w:rPr>
          <w:rFonts w:ascii="Palatino Linotype" w:hAnsi="Palatino Linotype"/>
          <w:sz w:val="24"/>
          <w:szCs w:val="24"/>
        </w:rPr>
        <w:t xml:space="preserve"> de Metepec</w:t>
      </w:r>
      <w:r>
        <w:rPr>
          <w:rFonts w:ascii="Palatino Linotype" w:hAnsi="Palatino Linotype"/>
          <w:sz w:val="24"/>
          <w:szCs w:val="24"/>
        </w:rPr>
        <w:t>, de forma objetiva lo siguiente:</w:t>
      </w:r>
    </w:p>
    <w:p w:rsidR="00DC57E9" w:rsidRPr="004C7208" w:rsidRDefault="00DC57E9" w:rsidP="00DC57E9">
      <w:pPr>
        <w:ind w:left="709" w:right="709"/>
        <w:jc w:val="both"/>
        <w:rPr>
          <w:rFonts w:ascii="Palatino Linotype" w:hAnsi="Palatino Linotype"/>
          <w:i/>
        </w:rPr>
      </w:pPr>
      <w:r w:rsidRPr="004C7208">
        <w:rPr>
          <w:rFonts w:ascii="Palatino Linotype" w:hAnsi="Palatino Linotype" w:cs="Arial"/>
          <w:i/>
        </w:rPr>
        <w:t xml:space="preserve">“requiero la </w:t>
      </w:r>
      <w:proofErr w:type="spellStart"/>
      <w:r w:rsidRPr="004C7208">
        <w:rPr>
          <w:rFonts w:ascii="Palatino Linotype" w:hAnsi="Palatino Linotype" w:cs="Arial"/>
          <w:i/>
        </w:rPr>
        <w:t>nomina</w:t>
      </w:r>
      <w:proofErr w:type="spellEnd"/>
      <w:r w:rsidRPr="004C7208">
        <w:rPr>
          <w:rFonts w:ascii="Palatino Linotype" w:hAnsi="Palatino Linotype" w:cs="Arial"/>
          <w:i/>
        </w:rPr>
        <w:t xml:space="preserve"> pagada en la primera y segunda quincena del mes de febrero de 2019, que contenga nombre, numero de empleado, dirección a la que </w:t>
      </w:r>
      <w:proofErr w:type="spellStart"/>
      <w:r w:rsidRPr="004C7208">
        <w:rPr>
          <w:rFonts w:ascii="Palatino Linotype" w:hAnsi="Palatino Linotype" w:cs="Arial"/>
          <w:i/>
        </w:rPr>
        <w:t>esta</w:t>
      </w:r>
      <w:proofErr w:type="spellEnd"/>
      <w:r w:rsidRPr="004C7208">
        <w:rPr>
          <w:rFonts w:ascii="Palatino Linotype" w:hAnsi="Palatino Linotype" w:cs="Arial"/>
          <w:i/>
        </w:rPr>
        <w:t xml:space="preserve"> adscrito, categoría, año de ingreso, sueldo bruto y sueldo neto.” </w:t>
      </w:r>
      <w:r w:rsidRPr="004C7208">
        <w:rPr>
          <w:rFonts w:ascii="Palatino Linotype" w:hAnsi="Palatino Linotype"/>
          <w:i/>
        </w:rPr>
        <w:t>(Sic)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Derivado de la indebida respuesta por parte del </w:t>
      </w:r>
      <w:r>
        <w:rPr>
          <w:rFonts w:ascii="Palatino Linotype" w:hAnsi="Palatino Linotype"/>
          <w:b/>
          <w:sz w:val="24"/>
          <w:szCs w:val="24"/>
        </w:rPr>
        <w:t xml:space="preserve">sujeto obligado, </w:t>
      </w:r>
      <w:r>
        <w:rPr>
          <w:rFonts w:ascii="Palatino Linotype" w:hAnsi="Palatino Linotype"/>
          <w:sz w:val="24"/>
          <w:szCs w:val="24"/>
        </w:rPr>
        <w:t xml:space="preserve">la Comisionada Ponente, resolvió en ordenar la entrega de la información peticionada, como se </w:t>
      </w:r>
      <w:r>
        <w:rPr>
          <w:rFonts w:ascii="Palatino Linotype" w:hAnsi="Palatino Linotype"/>
          <w:sz w:val="24"/>
          <w:szCs w:val="24"/>
        </w:rPr>
        <w:lastRenderedPageBreak/>
        <w:t>acredita en lo estipulado en su resolutivo SEGUNDO, como se acredita a continuación:</w:t>
      </w:r>
    </w:p>
    <w:p w:rsidR="00D020EA" w:rsidRPr="007D67A2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C57E9" w:rsidRPr="00D824DE" w:rsidRDefault="00DC57E9" w:rsidP="00DC57E9">
      <w:pPr>
        <w:spacing w:after="0" w:line="360" w:lineRule="auto"/>
        <w:jc w:val="both"/>
        <w:rPr>
          <w:rFonts w:ascii="Palatino Linotype" w:eastAsia="Calibri" w:hAnsi="Palatino Linotype" w:cs="Arial"/>
          <w:i/>
          <w:sz w:val="18"/>
          <w:szCs w:val="20"/>
        </w:rPr>
      </w:pPr>
      <w:r w:rsidRPr="00D824DE">
        <w:rPr>
          <w:rFonts w:ascii="Palatino Linotype" w:eastAsia="Calibri" w:hAnsi="Palatino Linotype" w:cs="Arial"/>
          <w:i/>
          <w:sz w:val="18"/>
          <w:szCs w:val="20"/>
        </w:rPr>
        <w:t>“SEGUNDO.</w:t>
      </w:r>
      <w:r w:rsidRPr="00D824DE">
        <w:rPr>
          <w:rFonts w:ascii="Palatino Linotype" w:eastAsia="Calibri" w:hAnsi="Palatino Linotype" w:cs="Arial"/>
          <w:i/>
          <w:sz w:val="18"/>
          <w:szCs w:val="20"/>
        </w:rPr>
        <w:tab/>
        <w:t xml:space="preserve">Se REVOCA la respuesta del SUJETO OBLIGADO y se ordena atienda la solicitud de información pública 00095/METEPEC/IP/2019 y haga entrega al RECURRENTE, vía EL SAIMEX, en términos del Considerando QUINTO de la presente resolución, en versión pública, de lo siguiente: </w:t>
      </w:r>
    </w:p>
    <w:p w:rsidR="00DC57E9" w:rsidRPr="00D824DE" w:rsidRDefault="00DC57E9" w:rsidP="00DC57E9">
      <w:pPr>
        <w:spacing w:after="0" w:line="360" w:lineRule="auto"/>
        <w:jc w:val="both"/>
        <w:rPr>
          <w:rFonts w:ascii="Palatino Linotype" w:eastAsia="Calibri" w:hAnsi="Palatino Linotype" w:cs="Arial"/>
          <w:i/>
          <w:sz w:val="18"/>
          <w:szCs w:val="20"/>
        </w:rPr>
      </w:pPr>
      <w:r w:rsidRPr="00D824DE">
        <w:rPr>
          <w:rFonts w:ascii="Palatino Linotype" w:eastAsia="Calibri" w:hAnsi="Palatino Linotype" w:cs="Arial"/>
          <w:i/>
          <w:sz w:val="18"/>
          <w:szCs w:val="20"/>
        </w:rPr>
        <w:t>“a) La Nómina General del Ayuntamiento de Metepec, correspondiente a la primera y segunda quincena del mes de febrero de 2019; y,</w:t>
      </w:r>
    </w:p>
    <w:p w:rsidR="00DC57E9" w:rsidRPr="00D824DE" w:rsidRDefault="00DC57E9" w:rsidP="00DC57E9">
      <w:pPr>
        <w:spacing w:after="0" w:line="360" w:lineRule="auto"/>
        <w:jc w:val="both"/>
        <w:rPr>
          <w:rFonts w:ascii="Palatino Linotype" w:eastAsia="Calibri" w:hAnsi="Palatino Linotype" w:cs="Arial"/>
          <w:i/>
          <w:sz w:val="18"/>
          <w:szCs w:val="20"/>
        </w:rPr>
      </w:pPr>
      <w:r w:rsidRPr="00D824DE">
        <w:rPr>
          <w:rFonts w:ascii="Palatino Linotype" w:eastAsia="Calibri" w:hAnsi="Palatino Linotype" w:cs="Arial"/>
          <w:i/>
          <w:sz w:val="18"/>
          <w:szCs w:val="20"/>
        </w:rPr>
        <w:t>b) El documento o documentos donde conste el año de ingreso de los servidores públicos del Ayuntamiento de Metepec, adscritos al día 11 de marzo de 2019.</w:t>
      </w:r>
    </w:p>
    <w:p w:rsidR="00D020EA" w:rsidRPr="00D824DE" w:rsidRDefault="00DC57E9" w:rsidP="00DC57E9">
      <w:pPr>
        <w:spacing w:after="0" w:line="360" w:lineRule="auto"/>
        <w:jc w:val="both"/>
        <w:rPr>
          <w:rFonts w:ascii="Palatino Linotype" w:eastAsia="Calibri" w:hAnsi="Palatino Linotype" w:cs="Arial"/>
          <w:i/>
          <w:sz w:val="18"/>
          <w:szCs w:val="20"/>
        </w:rPr>
      </w:pPr>
      <w:r w:rsidRPr="00D824DE">
        <w:rPr>
          <w:rFonts w:ascii="Palatino Linotype" w:eastAsia="Calibri" w:hAnsi="Palatino Linotype" w:cs="Arial"/>
          <w:i/>
          <w:sz w:val="18"/>
          <w:szCs w:val="20"/>
        </w:rPr>
        <w:t>Debiendo notificar al RECURRENTE el Acuerdo de Clasificación que emita el Comité de Transparencia, con motivo de las versiones públicas correspondientes.”</w:t>
      </w:r>
    </w:p>
    <w:p w:rsidR="00DC57E9" w:rsidRPr="007D67A2" w:rsidRDefault="00DC57E9" w:rsidP="00DC57E9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Pr="0026288E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vez hechas las consideraciones anteriores, debemos recordar que la Ley de Transparencia y Acceso a la Información Pública del Estado de México y Municipios, establece la obligación a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35707">
        <w:rPr>
          <w:rFonts w:ascii="Palatino Linotype" w:hAnsi="Palatino Linotype"/>
          <w:sz w:val="24"/>
          <w:szCs w:val="24"/>
        </w:rPr>
        <w:t xml:space="preserve">De igual manera, el artículo 23 de la Ley de Transparencia local, establece que los </w:t>
      </w:r>
      <w:r w:rsidRPr="00135707">
        <w:rPr>
          <w:rFonts w:ascii="Palatino Linotype" w:hAnsi="Palatino Linotype"/>
          <w:b/>
          <w:sz w:val="24"/>
          <w:szCs w:val="24"/>
        </w:rPr>
        <w:t>sujetos obligados</w:t>
      </w:r>
      <w:r w:rsidRPr="00135707">
        <w:rPr>
          <w:rFonts w:ascii="Palatino Linotype" w:hAnsi="Palatino Linotype"/>
          <w:sz w:val="24"/>
          <w:szCs w:val="24"/>
        </w:rPr>
        <w:t xml:space="preserve"> deben hacer pública toda aquella información relativa a los montos y las personas a quienes entreguen, por cualquier</w:t>
      </w:r>
      <w:r>
        <w:rPr>
          <w:rFonts w:ascii="Palatino Linotype" w:hAnsi="Palatino Linotype"/>
          <w:sz w:val="24"/>
          <w:szCs w:val="24"/>
        </w:rPr>
        <w:t xml:space="preserve"> motivo, los recursos públicos, lo que en estricto sentido se comparte.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Pr="0003774C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Empero, en el presente asunto se difiere atendiendo a la calidad de los servidores públicos que reciben recursos públicos, ello atendiendo a que los Policías Municipales junto con los Estatales y Federales, en sus distintas denominaciones, forman parte de quienes se encargan de la seguridad pública, la cual tiene como fines el de salvaguardar la integridad y derechos de las personas.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ese sentido, se comparte el sentido de ordenar se atienda la solicitud de información, no obstante se considera que por cuanto hace a la entrega de la información de la Dirección de Seguridad Pública del Ayuntamiento o su equivalente, se considera que deba hacerse de forma disociada y testando el nombre de dichos servidores públicos de tal suerte que no sea posible identificarlos o hacerlos identificables, ya sea por rango, nivel o puesto.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 anterior, deriva que en la actualidad el hacer públicos los nombres de los servidores públicos de la multicitada Dirección, los pondría en grave riesgo, atendiendo a los altos grados de criminalidad y violencia que se viven en el país, lo que conllevaría que al hacerlos identificables, se les vulnere su seguridad e integridad física.</w:t>
      </w:r>
    </w:p>
    <w:p w:rsidR="00D020EA" w:rsidRDefault="00D020EA" w:rsidP="00D020EA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20EA" w:rsidRDefault="00D020EA" w:rsidP="00D020EA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todo lo anteriormente expuesto y fundado, la suscrita se aparta únicamente por cuanto hace al punto en estudio, toda vez que se hace vulnerables e identificables a los servidores públicos que integran la Policía Municipal del sujeto obligado, para que personas con malas intenciones puedan hacer mal uso de la información que se ordena su entrega. </w:t>
      </w:r>
    </w:p>
    <w:p w:rsidR="00D020EA" w:rsidRDefault="00D020EA" w:rsidP="00D020EA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D020EA" w:rsidRDefault="00D020EA" w:rsidP="00D020EA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D020EA" w:rsidRPr="003F3117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D020EA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D020EA" w:rsidRPr="00663192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63192">
        <w:rPr>
          <w:rFonts w:ascii="Palatino Linotype" w:hAnsi="Palatino Linotype"/>
          <w:b/>
          <w:sz w:val="24"/>
          <w:szCs w:val="24"/>
        </w:rPr>
        <w:t>(Rúbrica)</w:t>
      </w:r>
    </w:p>
    <w:p w:rsidR="00D020EA" w:rsidRDefault="00D020EA" w:rsidP="00D020EA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441EB1" w:rsidRDefault="00441EB1" w:rsidP="00D020EA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441EB1" w:rsidRDefault="00441EB1" w:rsidP="00D020EA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D020EA" w:rsidRPr="00223DB7" w:rsidRDefault="00D020EA" w:rsidP="00D020EA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23DB7">
        <w:rPr>
          <w:rFonts w:ascii="Palatino Linotype" w:hAnsi="Palatino Linotype"/>
          <w:sz w:val="24"/>
          <w:szCs w:val="24"/>
        </w:rPr>
        <w:t xml:space="preserve">Esta hoja corresponde al voto particular emitido en el Recurso de Revisión número </w:t>
      </w:r>
      <w:r w:rsidRPr="00DB5D3D">
        <w:rPr>
          <w:rFonts w:ascii="Palatino Linotype" w:hAnsi="Palatino Linotype"/>
          <w:b/>
          <w:sz w:val="24"/>
          <w:szCs w:val="24"/>
        </w:rPr>
        <w:t>0</w:t>
      </w:r>
      <w:r w:rsidR="00441EB1">
        <w:rPr>
          <w:rFonts w:ascii="Palatino Linotype" w:hAnsi="Palatino Linotype"/>
          <w:b/>
          <w:sz w:val="24"/>
          <w:szCs w:val="24"/>
        </w:rPr>
        <w:t>1962</w:t>
      </w:r>
      <w:r w:rsidRPr="00DB5D3D">
        <w:rPr>
          <w:rFonts w:ascii="Palatino Linotype" w:hAnsi="Palatino Linotype"/>
          <w:b/>
          <w:sz w:val="24"/>
          <w:szCs w:val="24"/>
        </w:rPr>
        <w:t>/INFOEM/IP/RR/2019</w:t>
      </w:r>
      <w:r w:rsidRPr="00223DB7">
        <w:rPr>
          <w:rFonts w:ascii="Palatino Linotype" w:hAnsi="Palatino Linotype"/>
          <w:sz w:val="24"/>
          <w:szCs w:val="24"/>
        </w:rPr>
        <w:t xml:space="preserve"> aprobado en fecha </w:t>
      </w:r>
      <w:r w:rsidR="00441EB1">
        <w:rPr>
          <w:rFonts w:ascii="Palatino Linotype" w:hAnsi="Palatino Linotype"/>
          <w:sz w:val="24"/>
          <w:szCs w:val="24"/>
        </w:rPr>
        <w:t>veintidós</w:t>
      </w:r>
      <w:r w:rsidRPr="00223DB7">
        <w:rPr>
          <w:rFonts w:ascii="Palatino Linotype" w:hAnsi="Palatino Linotype"/>
          <w:sz w:val="24"/>
          <w:szCs w:val="24"/>
        </w:rPr>
        <w:t xml:space="preserve"> de </w:t>
      </w:r>
      <w:r w:rsidR="00441EB1">
        <w:rPr>
          <w:rFonts w:ascii="Palatino Linotype" w:hAnsi="Palatino Linotype"/>
          <w:sz w:val="24"/>
          <w:szCs w:val="24"/>
        </w:rPr>
        <w:t xml:space="preserve">mayo </w:t>
      </w:r>
      <w:r w:rsidRPr="00223DB7">
        <w:rPr>
          <w:rFonts w:ascii="Palatino Linotype" w:hAnsi="Palatino Linotype"/>
          <w:sz w:val="24"/>
          <w:szCs w:val="24"/>
        </w:rPr>
        <w:t>de dos mil diecinueve.</w:t>
      </w:r>
    </w:p>
    <w:p w:rsidR="00D824DE" w:rsidRPr="00D824DE" w:rsidRDefault="00441EB1" w:rsidP="00441EB1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O</w:t>
      </w:r>
      <w:r w:rsidR="00D020EA" w:rsidRPr="0021751D">
        <w:rPr>
          <w:rFonts w:ascii="Palatino Linotype" w:hAnsi="Palatino Linotype"/>
          <w:sz w:val="18"/>
          <w:szCs w:val="18"/>
        </w:rPr>
        <w:t>SAM/</w:t>
      </w:r>
      <w:r>
        <w:rPr>
          <w:rFonts w:ascii="Palatino Linotype" w:hAnsi="Palatino Linotype"/>
          <w:sz w:val="18"/>
          <w:szCs w:val="18"/>
        </w:rPr>
        <w:t>FJJC</w:t>
      </w:r>
    </w:p>
    <w:sectPr w:rsidR="00D824DE" w:rsidRPr="00D824DE" w:rsidSect="00DD7AD0">
      <w:headerReference w:type="even" r:id="rId6"/>
      <w:headerReference w:type="default" r:id="rId7"/>
      <w:footerReference w:type="default" r:id="rId8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EA" w:rsidRDefault="00D020EA" w:rsidP="00D020EA">
      <w:pPr>
        <w:spacing w:after="0" w:line="240" w:lineRule="auto"/>
      </w:pPr>
      <w:r>
        <w:separator/>
      </w:r>
    </w:p>
  </w:endnote>
  <w:endnote w:type="continuationSeparator" w:id="0">
    <w:p w:rsidR="00D020EA" w:rsidRDefault="00D020EA" w:rsidP="00D0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Pr="00EF6C99" w:rsidRDefault="0099157B" w:rsidP="00DD7AD0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D525A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EF6C99">
      <w:rPr>
        <w:rFonts w:ascii="Palatino Linotype" w:hAnsi="Palatino Linotype" w:cs="Arial"/>
        <w:sz w:val="20"/>
        <w:szCs w:val="20"/>
      </w:rPr>
      <w:t xml:space="preserve"> de 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AD525A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DD7AD0" w:rsidRDefault="009773D3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EA" w:rsidRDefault="00D020EA" w:rsidP="00D020EA">
      <w:pPr>
        <w:spacing w:after="0" w:line="240" w:lineRule="auto"/>
      </w:pPr>
      <w:r>
        <w:separator/>
      </w:r>
    </w:p>
  </w:footnote>
  <w:footnote w:type="continuationSeparator" w:id="0">
    <w:p w:rsidR="00D020EA" w:rsidRDefault="00D020EA" w:rsidP="00D020EA">
      <w:pPr>
        <w:spacing w:after="0" w:line="240" w:lineRule="auto"/>
      </w:pPr>
      <w:r>
        <w:continuationSeparator/>
      </w:r>
    </w:p>
  </w:footnote>
  <w:footnote w:id="1">
    <w:p w:rsidR="00D020EA" w:rsidRPr="00637DEC" w:rsidRDefault="00D020EA" w:rsidP="00D020EA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12.</w:t>
      </w:r>
      <w:r w:rsidRPr="00637DEC">
        <w:rPr>
          <w:rFonts w:ascii="Palatino Linotype" w:hAnsi="Palatino Linotype"/>
          <w:i/>
          <w:sz w:val="22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D020EA" w:rsidRPr="00637DEC" w:rsidRDefault="00D020EA" w:rsidP="00D020EA">
      <w:pPr>
        <w:pStyle w:val="Textonotapie"/>
        <w:jc w:val="both"/>
        <w:rPr>
          <w:rFonts w:ascii="Palatino Linotype" w:hAnsi="Palatino Linotype"/>
          <w:i/>
          <w:sz w:val="22"/>
        </w:rPr>
      </w:pPr>
    </w:p>
    <w:p w:rsidR="00D020EA" w:rsidRPr="00637DEC" w:rsidRDefault="00D020EA" w:rsidP="00D020EA">
      <w:pPr>
        <w:pStyle w:val="Textonotapie"/>
        <w:jc w:val="both"/>
        <w:rPr>
          <w:sz w:val="22"/>
        </w:rPr>
      </w:pPr>
      <w:r w:rsidRPr="00637DEC">
        <w:rPr>
          <w:rFonts w:ascii="Palatino Linotype" w:hAnsi="Palatino Linotype"/>
          <w:i/>
          <w:sz w:val="22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D020EA" w:rsidRPr="00637DEC" w:rsidRDefault="00D020EA" w:rsidP="00D020EA">
      <w:pPr>
        <w:pStyle w:val="Textonotapie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2</w:t>
      </w:r>
    </w:p>
    <w:p w:rsidR="00D020EA" w:rsidRPr="00637DEC" w:rsidRDefault="00D020EA" w:rsidP="00D020EA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Fonts w:ascii="Palatino Linotype" w:hAnsi="Palatino Linotype"/>
          <w:i/>
          <w:sz w:val="22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AD0" w:rsidRDefault="0099157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5F22BD9E" wp14:editId="52D13CF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99157B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2BD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99157B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97C" w:rsidRDefault="009773D3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97305570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1025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99157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01D0FD9" wp14:editId="35F5C7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99157B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D0FD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99157B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9157B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30E71743" wp14:editId="2C74403B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9773D3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773D3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99157B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EF6C99" w:rsidRDefault="0099157B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>
      <w:rPr>
        <w:rFonts w:ascii="Palatino Linotype" w:hAnsi="Palatino Linotype" w:cs="Arial"/>
        <w:b/>
        <w:sz w:val="20"/>
        <w:szCs w:val="20"/>
      </w:rPr>
      <w:t>:</w:t>
    </w:r>
    <w:r w:rsidRPr="006B0547">
      <w:rPr>
        <w:rFonts w:ascii="Palatino Linotype" w:hAnsi="Palatino Linotype" w:cs="Arial"/>
        <w:b/>
        <w:sz w:val="20"/>
        <w:szCs w:val="20"/>
      </w:rPr>
      <w:t xml:space="preserve"> </w:t>
    </w:r>
  </w:p>
  <w:p w:rsidR="0098697C" w:rsidRDefault="0099157B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  <w:r w:rsidRPr="00897E24">
      <w:rPr>
        <w:rFonts w:ascii="Palatino Linotype" w:hAnsi="Palatino Linotype" w:cs="Arial"/>
        <w:b/>
        <w:sz w:val="20"/>
        <w:szCs w:val="20"/>
      </w:rPr>
      <w:t>0</w:t>
    </w:r>
    <w:r w:rsidR="00B745D5">
      <w:rPr>
        <w:rFonts w:ascii="Palatino Linotype" w:hAnsi="Palatino Linotype" w:cs="Arial"/>
        <w:b/>
        <w:sz w:val="20"/>
        <w:szCs w:val="20"/>
      </w:rPr>
      <w:t>2487</w:t>
    </w:r>
    <w:r w:rsidRPr="00897E24">
      <w:rPr>
        <w:rFonts w:ascii="Palatino Linotype" w:hAnsi="Palatino Linotype" w:cs="Arial"/>
        <w:b/>
        <w:sz w:val="20"/>
        <w:szCs w:val="20"/>
      </w:rPr>
      <w:t>/INFOEM/IP/RR/201</w:t>
    </w:r>
    <w:r>
      <w:rPr>
        <w:rFonts w:ascii="Palatino Linotype" w:hAnsi="Palatino Linotype" w:cs="Arial"/>
        <w:b/>
        <w:sz w:val="20"/>
        <w:szCs w:val="20"/>
      </w:rPr>
      <w:t xml:space="preserve">9 </w:t>
    </w:r>
  </w:p>
  <w:p w:rsidR="002902DB" w:rsidRPr="0098697C" w:rsidRDefault="009773D3" w:rsidP="009869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EA"/>
    <w:rsid w:val="002A28E0"/>
    <w:rsid w:val="00323207"/>
    <w:rsid w:val="00441EB1"/>
    <w:rsid w:val="0099157B"/>
    <w:rsid w:val="00AD525A"/>
    <w:rsid w:val="00B745D5"/>
    <w:rsid w:val="00D020EA"/>
    <w:rsid w:val="00D824DE"/>
    <w:rsid w:val="00DC57E9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0E6E06-71B0-462B-A6FB-B21CE95A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0E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0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020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20E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0E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D0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D0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D020E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20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20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20E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2019-06-17T20:03:00Z</cp:lastPrinted>
  <dcterms:created xsi:type="dcterms:W3CDTF">2019-06-14T15:21:00Z</dcterms:created>
  <dcterms:modified xsi:type="dcterms:W3CDTF">2019-06-17T22:06:00Z</dcterms:modified>
</cp:coreProperties>
</file>